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1369" w:tblpYSpec="center"/>
        <w:tblW w:w="9385" w:type="dxa"/>
        <w:tblLayout w:type="fixed"/>
        <w:tblLook w:val="0400" w:firstRow="0" w:lastRow="0" w:firstColumn="0" w:lastColumn="0" w:noHBand="0" w:noVBand="1"/>
      </w:tblPr>
      <w:tblGrid>
        <w:gridCol w:w="1730"/>
        <w:gridCol w:w="5642"/>
        <w:gridCol w:w="26"/>
        <w:gridCol w:w="1987"/>
      </w:tblGrid>
      <w:tr w:rsidR="00FD71DA" w:rsidRPr="00702F3C" w14:paraId="65204C1B" w14:textId="77777777" w:rsidTr="00FD71DA">
        <w:trPr>
          <w:trHeight w:val="472"/>
        </w:trPr>
        <w:tc>
          <w:tcPr>
            <w:tcW w:w="9385" w:type="dxa"/>
            <w:gridSpan w:val="4"/>
            <w:shd w:val="clear" w:color="auto" w:fill="FFFFFF" w:themeFill="background1"/>
          </w:tcPr>
          <w:p w14:paraId="2E5C9329" w14:textId="77777777" w:rsidR="00FD71DA" w:rsidRDefault="00FD71DA" w:rsidP="00E642B3">
            <w:pPr>
              <w:tabs>
                <w:tab w:val="left" w:pos="5490"/>
              </w:tabs>
              <w:spacing w:before="20" w:after="20"/>
              <w:jc w:val="center"/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</w:pPr>
            <w:r w:rsidRPr="00605C82"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  <w:t xml:space="preserve">ECOSYSTEM WORKING GROUP – </w:t>
            </w:r>
            <w:r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  <w:t xml:space="preserve">DRAFT </w:t>
            </w:r>
            <w:r w:rsidRPr="00605C82"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  <w:t>AGENDA</w:t>
            </w:r>
          </w:p>
          <w:p w14:paraId="308663F0" w14:textId="77777777" w:rsidR="00FD71DA" w:rsidRDefault="00FD71DA" w:rsidP="00FD71DA">
            <w:pPr>
              <w:spacing w:before="20" w:after="20"/>
              <w:jc w:val="center"/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  <w:t>WORKING GROUP MEETINGS APRIL 27 AND 28, 2016 – WASHINGTON DC</w:t>
            </w:r>
          </w:p>
          <w:p w14:paraId="2EB4B213" w14:textId="77777777" w:rsidR="00FD71DA" w:rsidRPr="00605C82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32"/>
                <w:szCs w:val="22"/>
                <w:lang w:val="en-US"/>
              </w:rPr>
            </w:pPr>
          </w:p>
        </w:tc>
      </w:tr>
      <w:tr w:rsidR="00FD71DA" w:rsidRPr="00702F3C" w14:paraId="14AFEE4D" w14:textId="77777777" w:rsidTr="00FD71DA">
        <w:trPr>
          <w:trHeight w:val="472"/>
        </w:trPr>
        <w:tc>
          <w:tcPr>
            <w:tcW w:w="7372" w:type="dxa"/>
            <w:gridSpan w:val="2"/>
            <w:shd w:val="clear" w:color="auto" w:fill="808080" w:themeFill="background1" w:themeFillShade="80"/>
            <w:vAlign w:val="center"/>
          </w:tcPr>
          <w:p w14:paraId="23149368" w14:textId="77777777" w:rsidR="00FD71DA" w:rsidRPr="00702F3C" w:rsidRDefault="00FD71DA" w:rsidP="00FD71DA">
            <w:pPr>
              <w:spacing w:before="20" w:after="20"/>
              <w:jc w:val="center"/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val="en-US"/>
              </w:rPr>
              <w:t>27 April 2016</w:t>
            </w:r>
          </w:p>
        </w:tc>
        <w:tc>
          <w:tcPr>
            <w:tcW w:w="2013" w:type="dxa"/>
            <w:gridSpan w:val="2"/>
            <w:shd w:val="clear" w:color="auto" w:fill="808080" w:themeFill="background1" w:themeFillShade="80"/>
            <w:vAlign w:val="center"/>
          </w:tcPr>
          <w:p w14:paraId="6767D053" w14:textId="77777777" w:rsidR="00FD71DA" w:rsidRPr="00702F3C" w:rsidRDefault="00FD71DA" w:rsidP="00FD71DA">
            <w:pPr>
              <w:spacing w:before="20" w:after="20"/>
              <w:jc w:val="center"/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val="en-US"/>
              </w:rPr>
              <w:t>Documents</w:t>
            </w:r>
            <w:r>
              <w:rPr>
                <w:rFonts w:ascii="Calibri" w:hAnsi="Calibri"/>
                <w:b/>
                <w:bCs/>
                <w:color w:val="FFFFFF" w:themeColor="background1"/>
                <w:sz w:val="22"/>
                <w:szCs w:val="22"/>
                <w:lang w:val="en-US"/>
              </w:rPr>
              <w:t>*</w:t>
            </w:r>
          </w:p>
        </w:tc>
      </w:tr>
      <w:tr w:rsidR="00FD71DA" w:rsidRPr="00702F3C" w14:paraId="579E7610" w14:textId="77777777" w:rsidTr="00FD71DA">
        <w:trPr>
          <w:trHeight w:val="472"/>
        </w:trPr>
        <w:tc>
          <w:tcPr>
            <w:tcW w:w="1730" w:type="dxa"/>
            <w:tcBorders>
              <w:bottom w:val="single" w:sz="4" w:space="0" w:color="808080" w:themeColor="background1" w:themeShade="80"/>
            </w:tcBorders>
          </w:tcPr>
          <w:p w14:paraId="3C55B3E6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09:00 - 9:30</w:t>
            </w:r>
          </w:p>
        </w:tc>
        <w:tc>
          <w:tcPr>
            <w:tcW w:w="5642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EE353AC" w14:textId="77777777" w:rsidR="00FD71DA" w:rsidRPr="00702F3C" w:rsidRDefault="00FD71DA" w:rsidP="00FD71DA">
            <w:pPr>
              <w:tabs>
                <w:tab w:val="clear" w:pos="794"/>
                <w:tab w:val="left" w:pos="147"/>
              </w:tabs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Welcome and review of Ecosystem Working Group goals and agendas (Co Chairs)</w:t>
            </w:r>
          </w:p>
        </w:tc>
        <w:tc>
          <w:tcPr>
            <w:tcW w:w="2013" w:type="dxa"/>
            <w:gridSpan w:val="2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320DD483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FD71DA" w:rsidRPr="00702F3C" w14:paraId="11820AB0" w14:textId="77777777" w:rsidTr="00FD71DA">
        <w:trPr>
          <w:trHeight w:val="472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hideMark/>
          </w:tcPr>
          <w:p w14:paraId="752420CC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09:30 – 10:45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060B1BE9" w14:textId="77777777" w:rsidR="00FD71DA" w:rsidRPr="00702F3C" w:rsidRDefault="00FD71DA" w:rsidP="00FD71DA">
            <w:pPr>
              <w:tabs>
                <w:tab w:val="clear" w:pos="794"/>
                <w:tab w:val="left" w:pos="147"/>
              </w:tabs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Deliverables Complete and Ready for Final Review</w:t>
            </w:r>
          </w:p>
          <w:p w14:paraId="733A7F66" w14:textId="77777777" w:rsidR="00FD71DA" w:rsidRPr="00702F3C" w:rsidRDefault="00FD71DA" w:rsidP="00FD71DA">
            <w:pPr>
              <w:numPr>
                <w:ilvl w:val="0"/>
                <w:numId w:val="2"/>
              </w:numPr>
              <w:tabs>
                <w:tab w:val="clear" w:pos="794"/>
                <w:tab w:val="left" w:pos="289"/>
              </w:tabs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Ecosystem Definition, Introduction, Definition of Products and Services, Glossary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6367061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FD71DA" w:rsidRPr="00702F3C" w14:paraId="2754B4B3" w14:textId="77777777" w:rsidTr="00FD71DA">
        <w:trPr>
          <w:trHeight w:val="312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44E0C66C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10:45 – 11:00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28F7D2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Coffee Break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04B82449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FD71DA" w:rsidRPr="00702F3C" w14:paraId="1643FA85" w14:textId="77777777" w:rsidTr="00FD71DA">
        <w:trPr>
          <w:trHeight w:val="349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77A508FF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11:00 – 12:00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5713E7" w14:textId="77777777" w:rsidR="00FD71DA" w:rsidRPr="00702F3C" w:rsidRDefault="00FD71DA" w:rsidP="00FD71DA">
            <w:pPr>
              <w:numPr>
                <w:ilvl w:val="0"/>
                <w:numId w:val="2"/>
              </w:numPr>
              <w:tabs>
                <w:tab w:val="clear" w:pos="794"/>
                <w:tab w:val="left" w:pos="289"/>
              </w:tabs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Merchant Enablement (Weinberg, Salazar)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54A342BC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FD71DA" w:rsidRPr="00702F3C" w14:paraId="16A767AD" w14:textId="77777777" w:rsidTr="00FD71DA">
        <w:trPr>
          <w:trHeight w:val="349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48EE7A16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12:00-13:00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FCE798D" w14:textId="77777777" w:rsidR="00FD71DA" w:rsidRPr="00702F3C" w:rsidRDefault="00FD71DA" w:rsidP="00FD71DA">
            <w:pPr>
              <w:numPr>
                <w:ilvl w:val="0"/>
                <w:numId w:val="2"/>
              </w:numPr>
              <w:tabs>
                <w:tab w:val="clear" w:pos="794"/>
                <w:tab w:val="left" w:pos="289"/>
              </w:tabs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Regulation and Regulatory MOU (Northup)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F1A1514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FD71DA" w:rsidRPr="00702F3C" w14:paraId="7B80E71D" w14:textId="77777777" w:rsidTr="00FD71DA">
        <w:trPr>
          <w:trHeight w:val="349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F410F4C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13:00 – 14:00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DF499F8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Lunch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5BC3A43F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FD71DA" w:rsidRPr="00702F3C" w14:paraId="3E72FAD4" w14:textId="77777777" w:rsidTr="00FD71DA">
        <w:trPr>
          <w:trHeight w:val="737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1B2F48C3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14:00 – 15:30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00712D2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 xml:space="preserve">Deliverables In First Draft for Review </w:t>
            </w: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br/>
            </w:r>
            <w:r w:rsidRPr="00702F3C">
              <w:rPr>
                <w:rFonts w:ascii="Calibri" w:hAnsi="Calibri"/>
                <w:bCs/>
                <w:sz w:val="22"/>
                <w:szCs w:val="22"/>
                <w:lang w:val="en-US"/>
              </w:rPr>
              <w:t>(Weinberg &amp; Salazar)</w:t>
            </w:r>
          </w:p>
          <w:p w14:paraId="2A69BBB0" w14:textId="77777777" w:rsidR="00FD71DA" w:rsidRPr="00702F3C" w:rsidRDefault="00FD71DA" w:rsidP="00FD71DA">
            <w:pPr>
              <w:numPr>
                <w:ilvl w:val="0"/>
                <w:numId w:val="2"/>
              </w:numPr>
              <w:tabs>
                <w:tab w:val="clear" w:pos="794"/>
                <w:tab w:val="left" w:pos="289"/>
              </w:tabs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B2B Payments and Merchant Enablement</w:t>
            </w:r>
          </w:p>
          <w:p w14:paraId="355207A9" w14:textId="77777777" w:rsidR="00FD71DA" w:rsidRPr="00702F3C" w:rsidRDefault="00FD71DA" w:rsidP="00FD71DA">
            <w:pPr>
              <w:numPr>
                <w:ilvl w:val="0"/>
                <w:numId w:val="2"/>
              </w:numPr>
              <w:tabs>
                <w:tab w:val="clear" w:pos="794"/>
                <w:tab w:val="left" w:pos="289"/>
              </w:tabs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Social Payments Platforms</w:t>
            </w:r>
          </w:p>
          <w:p w14:paraId="26FCB2C4" w14:textId="77777777" w:rsidR="00FD71DA" w:rsidRPr="00702F3C" w:rsidRDefault="00FD71DA" w:rsidP="00FD71DA">
            <w:pPr>
              <w:numPr>
                <w:ilvl w:val="0"/>
                <w:numId w:val="2"/>
              </w:numPr>
              <w:tabs>
                <w:tab w:val="clear" w:pos="794"/>
                <w:tab w:val="left" w:pos="289"/>
              </w:tabs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Digital History and Merchant Enablement</w:t>
            </w:r>
          </w:p>
          <w:p w14:paraId="4762D0E9" w14:textId="77777777" w:rsidR="00FD71DA" w:rsidRDefault="00FD71DA" w:rsidP="00FD71DA">
            <w:pPr>
              <w:numPr>
                <w:ilvl w:val="0"/>
                <w:numId w:val="2"/>
              </w:numPr>
              <w:tabs>
                <w:tab w:val="clear" w:pos="794"/>
                <w:tab w:val="left" w:pos="289"/>
              </w:tabs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Agricultural Platforms and Merchant Enablement</w:t>
            </w:r>
          </w:p>
          <w:p w14:paraId="34F54DF7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(Benson)</w:t>
            </w:r>
          </w:p>
          <w:p w14:paraId="41BCD5F8" w14:textId="77777777" w:rsidR="00FD71DA" w:rsidRPr="00702F3C" w:rsidRDefault="00FD71DA" w:rsidP="00FD71DA">
            <w:pPr>
              <w:numPr>
                <w:ilvl w:val="0"/>
                <w:numId w:val="2"/>
              </w:numPr>
              <w:tabs>
                <w:tab w:val="clear" w:pos="794"/>
                <w:tab w:val="left" w:pos="289"/>
              </w:tabs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 xml:space="preserve">Bulk Payments, Digital Wallets and National Identity Systems </w:t>
            </w:r>
          </w:p>
          <w:p w14:paraId="046971C0" w14:textId="77777777" w:rsidR="00FD71DA" w:rsidRPr="00702F3C" w:rsidRDefault="00FD71DA" w:rsidP="00FD71DA">
            <w:pPr>
              <w:numPr>
                <w:ilvl w:val="0"/>
                <w:numId w:val="2"/>
              </w:numPr>
              <w:tabs>
                <w:tab w:val="clear" w:pos="794"/>
                <w:tab w:val="left" w:pos="289"/>
              </w:tabs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Risk Management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5C3D8061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FD71DA" w:rsidRPr="00702F3C" w14:paraId="57276DFF" w14:textId="77777777" w:rsidTr="00FD71DA">
        <w:trPr>
          <w:trHeight w:val="313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5C0D7EF1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15:30 – 15:45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CCBBAEC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Coffee Break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7ECE9B44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FD71DA" w:rsidRPr="00702F3C" w14:paraId="2CE101FE" w14:textId="77777777" w:rsidTr="00C84995">
        <w:trPr>
          <w:trHeight w:val="935"/>
        </w:trPr>
        <w:tc>
          <w:tcPr>
            <w:tcW w:w="1730" w:type="dxa"/>
            <w:tcBorders>
              <w:top w:val="single" w:sz="4" w:space="0" w:color="808080" w:themeColor="background1" w:themeShade="80"/>
            </w:tcBorders>
          </w:tcPr>
          <w:p w14:paraId="1EB3B7DD" w14:textId="77777777" w:rsidR="00FD71DA" w:rsidRPr="00702F3C" w:rsidRDefault="00FD71DA" w:rsidP="00E642B3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15:45 – 1</w:t>
            </w:r>
            <w:r w:rsidR="00E642B3">
              <w:rPr>
                <w:rFonts w:ascii="Calibri" w:hAnsi="Calibri"/>
                <w:sz w:val="22"/>
                <w:szCs w:val="22"/>
                <w:lang w:val="en-US"/>
              </w:rPr>
              <w:t>7</w:t>
            </w: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:</w:t>
            </w:r>
            <w:r w:rsidR="00E642B3">
              <w:rPr>
                <w:rFonts w:ascii="Calibri" w:hAnsi="Calibri"/>
                <w:sz w:val="22"/>
                <w:szCs w:val="22"/>
                <w:lang w:val="en-US"/>
              </w:rPr>
              <w:t>0</w:t>
            </w: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0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50BDE2F" w14:textId="77777777" w:rsidR="00FD71DA" w:rsidRDefault="00C84995" w:rsidP="00C84995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 xml:space="preserve">Growing the Ecosystem: </w:t>
            </w:r>
            <w:r w:rsidR="00FD71DA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Guest Presentation</w:t>
            </w:r>
            <w:r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s</w:t>
            </w:r>
            <w:r w:rsidR="00FD71DA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14:paraId="335757D0" w14:textId="77777777" w:rsidR="00C84995" w:rsidRPr="00C84995" w:rsidRDefault="00C84995" w:rsidP="00C84995">
            <w:pPr>
              <w:spacing w:before="20" w:after="20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 w:rsidRPr="00C84995">
              <w:rPr>
                <w:rFonts w:ascii="Calibri" w:hAnsi="Calibri"/>
                <w:bCs/>
                <w:sz w:val="22"/>
                <w:szCs w:val="22"/>
                <w:lang w:val="en-US"/>
              </w:rPr>
              <w:t>Faisal Mazhar, State Bank of Pakistan</w:t>
            </w:r>
          </w:p>
          <w:p w14:paraId="6FA16629" w14:textId="5E3182DE" w:rsidR="00C84995" w:rsidRPr="00F1287C" w:rsidRDefault="00C84995" w:rsidP="00C8499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C84995">
              <w:rPr>
                <w:rFonts w:ascii="Arial" w:eastAsia="Times New Roman" w:hAnsi="Arial" w:cs="Arial"/>
                <w:color w:val="222222"/>
                <w:sz w:val="19"/>
                <w:szCs w:val="19"/>
                <w:shd w:val="clear" w:color="auto" w:fill="FFFFFF"/>
                <w:lang w:val="en-US"/>
              </w:rPr>
              <w:t>Devon Ferreira</w:t>
            </w:r>
            <w:r>
              <w:rPr>
                <w:rFonts w:ascii="Arial" w:eastAsia="Times New Roman" w:hAnsi="Arial" w:cs="Arial"/>
                <w:color w:val="222222"/>
                <w:sz w:val="19"/>
                <w:szCs w:val="19"/>
                <w:shd w:val="clear" w:color="auto" w:fill="FFFFFF"/>
                <w:lang w:val="en-US"/>
              </w:rPr>
              <w:t>, Price Waterhouse Cooper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</w:tcPr>
          <w:p w14:paraId="1DD91AAC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FD71DA" w:rsidRPr="00702F3C" w14:paraId="3C502305" w14:textId="77777777" w:rsidTr="00FD71DA">
        <w:trPr>
          <w:trHeight w:val="357"/>
        </w:trPr>
        <w:tc>
          <w:tcPr>
            <w:tcW w:w="7398" w:type="dxa"/>
            <w:gridSpan w:val="3"/>
            <w:shd w:val="clear" w:color="auto" w:fill="808080" w:themeFill="background1" w:themeFillShade="80"/>
            <w:vAlign w:val="center"/>
          </w:tcPr>
          <w:p w14:paraId="4F162804" w14:textId="38D09CE1" w:rsidR="00FD71DA" w:rsidRPr="00702F3C" w:rsidRDefault="00FD71DA" w:rsidP="00FD71DA">
            <w:pPr>
              <w:spacing w:before="20" w:after="20"/>
              <w:jc w:val="center"/>
              <w:rPr>
                <w:rFonts w:ascii="Calibri" w:hAnsi="Calibri"/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color w:val="FFFFFF" w:themeColor="background1"/>
                <w:sz w:val="22"/>
                <w:szCs w:val="22"/>
                <w:lang w:val="en-US"/>
              </w:rPr>
              <w:t>28 April 2016</w:t>
            </w:r>
          </w:p>
        </w:tc>
        <w:tc>
          <w:tcPr>
            <w:tcW w:w="1987" w:type="dxa"/>
            <w:shd w:val="clear" w:color="auto" w:fill="808080" w:themeFill="background1" w:themeFillShade="80"/>
          </w:tcPr>
          <w:p w14:paraId="200A0AE1" w14:textId="77777777" w:rsidR="00FD71DA" w:rsidRPr="00702F3C" w:rsidRDefault="00FD71DA" w:rsidP="00FD71DA">
            <w:pPr>
              <w:spacing w:before="20" w:after="20"/>
              <w:jc w:val="center"/>
              <w:rPr>
                <w:rFonts w:ascii="Calibri" w:hAnsi="Calibri"/>
                <w:b/>
                <w:color w:val="FFFFFF" w:themeColor="background1"/>
                <w:sz w:val="22"/>
                <w:szCs w:val="22"/>
                <w:lang w:val="en-US"/>
              </w:rPr>
            </w:pPr>
          </w:p>
        </w:tc>
      </w:tr>
      <w:tr w:rsidR="00C84995" w:rsidRPr="009E65F7" w14:paraId="774B9EE5" w14:textId="77777777" w:rsidTr="00C84995">
        <w:trPr>
          <w:trHeight w:val="531"/>
        </w:trPr>
        <w:tc>
          <w:tcPr>
            <w:tcW w:w="1730" w:type="dxa"/>
            <w:tcBorders>
              <w:bottom w:val="single" w:sz="4" w:space="0" w:color="808080" w:themeColor="background1" w:themeShade="80"/>
            </w:tcBorders>
          </w:tcPr>
          <w:p w14:paraId="541F7B42" w14:textId="2B1BA483" w:rsidR="00C84995" w:rsidRPr="00702F3C" w:rsidRDefault="00C84995" w:rsidP="00FD71DA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09:00-9:20</w:t>
            </w:r>
          </w:p>
        </w:tc>
        <w:tc>
          <w:tcPr>
            <w:tcW w:w="5642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0ABF99" w14:textId="77777777" w:rsidR="00C84995" w:rsidRDefault="00C84995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Growing the Ecosystem: Guest Presentation</w:t>
            </w:r>
          </w:p>
          <w:p w14:paraId="5542B59A" w14:textId="77777777" w:rsidR="00C84995" w:rsidRDefault="00C84995" w:rsidP="00FD71DA">
            <w:pPr>
              <w:spacing w:before="20" w:after="20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en-US"/>
              </w:rPr>
              <w:t>Theo Cosmora, Social Eco</w:t>
            </w:r>
          </w:p>
          <w:p w14:paraId="56C87309" w14:textId="4C1F6B21" w:rsidR="009E65F7" w:rsidRPr="009E65F7" w:rsidRDefault="009E65F7" w:rsidP="00FD71DA">
            <w:pPr>
              <w:spacing w:before="20" w:after="20"/>
              <w:rPr>
                <w:rFonts w:ascii="Calibri" w:hAnsi="Calibri"/>
                <w:bCs/>
                <w:sz w:val="22"/>
                <w:szCs w:val="22"/>
                <w:lang w:val="fr-CH"/>
              </w:rPr>
            </w:pPr>
            <w:r w:rsidRPr="009E65F7">
              <w:rPr>
                <w:rFonts w:ascii="Calibri" w:hAnsi="Calibri"/>
                <w:bCs/>
                <w:sz w:val="22"/>
                <w:szCs w:val="22"/>
                <w:lang w:val="fr-CH"/>
              </w:rPr>
              <w:t>Vinod Kotwal, TRAI (UPI- India)</w:t>
            </w:r>
            <w:bookmarkStart w:id="0" w:name="_GoBack"/>
            <w:bookmarkEnd w:id="0"/>
          </w:p>
        </w:tc>
        <w:tc>
          <w:tcPr>
            <w:tcW w:w="2013" w:type="dxa"/>
            <w:gridSpan w:val="2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62F1F4DD" w14:textId="77777777" w:rsidR="00C84995" w:rsidRPr="009E65F7" w:rsidRDefault="00C84995" w:rsidP="00FD71DA">
            <w:pPr>
              <w:spacing w:before="20" w:after="20"/>
              <w:rPr>
                <w:rFonts w:ascii="Calibri" w:hAnsi="Calibri"/>
                <w:sz w:val="22"/>
                <w:szCs w:val="22"/>
                <w:lang w:val="fr-CH"/>
              </w:rPr>
            </w:pPr>
          </w:p>
        </w:tc>
      </w:tr>
      <w:tr w:rsidR="00FD71DA" w:rsidRPr="00702F3C" w14:paraId="4F0A182F" w14:textId="77777777" w:rsidTr="00FD71DA">
        <w:trPr>
          <w:trHeight w:val="2301"/>
        </w:trPr>
        <w:tc>
          <w:tcPr>
            <w:tcW w:w="1730" w:type="dxa"/>
            <w:tcBorders>
              <w:bottom w:val="single" w:sz="4" w:space="0" w:color="808080" w:themeColor="background1" w:themeShade="80"/>
            </w:tcBorders>
          </w:tcPr>
          <w:p w14:paraId="695C4304" w14:textId="65A176FC" w:rsidR="00FD71DA" w:rsidRPr="00702F3C" w:rsidRDefault="00C84995" w:rsidP="00FD71DA">
            <w:pPr>
              <w:spacing w:before="20" w:after="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09:2</w:t>
            </w:r>
            <w:r w:rsidR="00FD71DA" w:rsidRPr="00702F3C">
              <w:rPr>
                <w:rFonts w:ascii="Calibri" w:hAnsi="Calibri"/>
                <w:sz w:val="22"/>
                <w:szCs w:val="22"/>
                <w:lang w:val="en-US"/>
              </w:rPr>
              <w:t>0 – 10:45</w:t>
            </w:r>
          </w:p>
        </w:tc>
        <w:tc>
          <w:tcPr>
            <w:tcW w:w="5642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383E63E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Deliverables in Outline for Review</w:t>
            </w:r>
          </w:p>
          <w:p w14:paraId="4624A0AE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Cs/>
                <w:sz w:val="22"/>
                <w:szCs w:val="22"/>
                <w:lang w:val="en-US"/>
              </w:rPr>
              <w:t>(Salazar)</w:t>
            </w:r>
          </w:p>
          <w:p w14:paraId="063509FB" w14:textId="77777777" w:rsidR="00FD71DA" w:rsidRPr="00702F3C" w:rsidRDefault="00FD71DA" w:rsidP="00FD71DA">
            <w:pPr>
              <w:numPr>
                <w:ilvl w:val="0"/>
                <w:numId w:val="3"/>
              </w:numPr>
              <w:tabs>
                <w:tab w:val="clear" w:pos="794"/>
                <w:tab w:val="left" w:pos="360"/>
              </w:tabs>
              <w:spacing w:before="20" w:after="20"/>
              <w:ind w:left="540" w:hanging="450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Cs/>
                <w:sz w:val="22"/>
                <w:szCs w:val="22"/>
                <w:lang w:val="en-US"/>
              </w:rPr>
              <w:t>Impact of C2B on Agents &amp; Agent Networks</w:t>
            </w:r>
          </w:p>
          <w:p w14:paraId="3BCCA2B3" w14:textId="77777777" w:rsidR="00FD71DA" w:rsidRPr="00702F3C" w:rsidRDefault="00FD71DA" w:rsidP="00FD71DA">
            <w:pPr>
              <w:numPr>
                <w:ilvl w:val="0"/>
                <w:numId w:val="3"/>
              </w:numPr>
              <w:tabs>
                <w:tab w:val="clear" w:pos="794"/>
                <w:tab w:val="left" w:pos="360"/>
              </w:tabs>
              <w:spacing w:before="20" w:after="20"/>
              <w:ind w:left="540" w:hanging="450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Cs/>
                <w:sz w:val="22"/>
                <w:szCs w:val="22"/>
                <w:lang w:val="en-US"/>
              </w:rPr>
              <w:t>Examination of POI/POS Technology</w:t>
            </w:r>
          </w:p>
          <w:p w14:paraId="348A6F91" w14:textId="67F4EB39" w:rsidR="00FD71DA" w:rsidRPr="00702F3C" w:rsidRDefault="00FD71DA" w:rsidP="00FD71DA">
            <w:pPr>
              <w:numPr>
                <w:ilvl w:val="0"/>
                <w:numId w:val="3"/>
              </w:numPr>
              <w:tabs>
                <w:tab w:val="clear" w:pos="794"/>
                <w:tab w:val="left" w:pos="360"/>
              </w:tabs>
              <w:spacing w:before="20" w:after="20"/>
              <w:ind w:left="540" w:hanging="450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Cs/>
                <w:sz w:val="22"/>
                <w:szCs w:val="22"/>
                <w:lang w:val="en-US"/>
              </w:rPr>
              <w:t>Role of Schemes in the Ecosystem</w:t>
            </w:r>
          </w:p>
          <w:p w14:paraId="3DE6CC8B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Cs/>
                <w:sz w:val="22"/>
                <w:szCs w:val="22"/>
                <w:lang w:val="en-US"/>
              </w:rPr>
              <w:t>(Grin)</w:t>
            </w:r>
          </w:p>
          <w:p w14:paraId="5A41B32E" w14:textId="77777777" w:rsidR="00FD71DA" w:rsidRPr="00702F3C" w:rsidRDefault="00FD71DA" w:rsidP="00FD71DA">
            <w:pPr>
              <w:numPr>
                <w:ilvl w:val="0"/>
                <w:numId w:val="3"/>
              </w:numPr>
              <w:tabs>
                <w:tab w:val="clear" w:pos="794"/>
                <w:tab w:val="left" w:pos="360"/>
              </w:tabs>
              <w:spacing w:before="20" w:after="20"/>
              <w:ind w:left="540" w:hanging="45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Cs/>
                <w:sz w:val="22"/>
                <w:szCs w:val="22"/>
                <w:lang w:val="en-US"/>
              </w:rPr>
              <w:t xml:space="preserve">The Role of Postal Networks </w:t>
            </w:r>
          </w:p>
        </w:tc>
        <w:tc>
          <w:tcPr>
            <w:tcW w:w="2013" w:type="dxa"/>
            <w:gridSpan w:val="2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583DEE1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FD71DA" w:rsidRPr="00702F3C" w14:paraId="0747BAEC" w14:textId="77777777" w:rsidTr="00FD71DA">
        <w:trPr>
          <w:trHeight w:val="366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514E90A0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10:45 – 11:00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4E0F23E3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Coffee Break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35E0AC88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FD71DA" w:rsidRPr="00702F3C" w14:paraId="20C47B37" w14:textId="77777777" w:rsidTr="00FD71DA">
        <w:trPr>
          <w:trHeight w:val="357"/>
        </w:trPr>
        <w:tc>
          <w:tcPr>
            <w:tcW w:w="1730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65DA9738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sz w:val="22"/>
                <w:szCs w:val="22"/>
                <w:lang w:val="en-US"/>
              </w:rPr>
              <w:t>11:00 – 12:00</w:t>
            </w:r>
          </w:p>
        </w:tc>
        <w:tc>
          <w:tcPr>
            <w:tcW w:w="56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0DE834FC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702F3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Plans for Rest Of Year</w:t>
            </w:r>
          </w:p>
        </w:tc>
        <w:tc>
          <w:tcPr>
            <w:tcW w:w="2013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04561C5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FD71DA" w:rsidRPr="00702F3C" w14:paraId="1D6AE4F8" w14:textId="77777777" w:rsidTr="00FD71DA">
        <w:trPr>
          <w:trHeight w:val="357"/>
        </w:trPr>
        <w:tc>
          <w:tcPr>
            <w:tcW w:w="9385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CB7ACBF" w14:textId="77777777" w:rsidR="00FD71DA" w:rsidRPr="00702F3C" w:rsidRDefault="00FD71DA" w:rsidP="00FD71DA">
            <w:pPr>
              <w:spacing w:before="20" w:after="20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* All documents will be circulated to working group members and published on the ITU website by </w:t>
            </w:r>
            <w:r w:rsidR="00A22161">
              <w:rPr>
                <w:rFonts w:ascii="Calibri" w:hAnsi="Calibri"/>
                <w:sz w:val="22"/>
                <w:szCs w:val="22"/>
                <w:lang w:val="en-US"/>
              </w:rPr>
              <w:t>or before April 15th</w:t>
            </w:r>
          </w:p>
        </w:tc>
      </w:tr>
    </w:tbl>
    <w:p w14:paraId="28DEBFCF" w14:textId="77777777" w:rsidR="000F26FC" w:rsidRDefault="000F26FC" w:rsidP="00C84995"/>
    <w:sectPr w:rsidR="000F26FC" w:rsidSect="00C84995">
      <w:pgSz w:w="11900" w:h="16820"/>
      <w:pgMar w:top="1152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BCD90" w14:textId="77777777" w:rsidR="002A48C6" w:rsidRDefault="002A48C6" w:rsidP="00C84995">
      <w:pPr>
        <w:spacing w:before="0"/>
      </w:pPr>
      <w:r>
        <w:separator/>
      </w:r>
    </w:p>
  </w:endnote>
  <w:endnote w:type="continuationSeparator" w:id="0">
    <w:p w14:paraId="3BD9A988" w14:textId="77777777" w:rsidR="002A48C6" w:rsidRDefault="002A48C6" w:rsidP="00C8499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venir Book">
    <w:charset w:val="00"/>
    <w:family w:val="auto"/>
    <w:pitch w:val="variable"/>
    <w:sig w:usb0="800000AF" w:usb1="5000204A" w:usb2="00000000" w:usb3="00000000" w:csb0="0000009B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65D1C" w14:textId="77777777" w:rsidR="002A48C6" w:rsidRDefault="002A48C6" w:rsidP="00C84995">
      <w:pPr>
        <w:spacing w:before="0"/>
      </w:pPr>
      <w:r>
        <w:separator/>
      </w:r>
    </w:p>
  </w:footnote>
  <w:footnote w:type="continuationSeparator" w:id="0">
    <w:p w14:paraId="516A826A" w14:textId="77777777" w:rsidR="002A48C6" w:rsidRDefault="002A48C6" w:rsidP="00C8499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E30C4"/>
    <w:multiLevelType w:val="hybridMultilevel"/>
    <w:tmpl w:val="1A7A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91BA0"/>
    <w:multiLevelType w:val="hybridMultilevel"/>
    <w:tmpl w:val="0C08D12E"/>
    <w:lvl w:ilvl="0" w:tplc="0409000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1D25D0"/>
    <w:multiLevelType w:val="hybridMultilevel"/>
    <w:tmpl w:val="2C3A267C"/>
    <w:lvl w:ilvl="0" w:tplc="ADCE25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1DA"/>
    <w:rsid w:val="000F26FC"/>
    <w:rsid w:val="001A3EF4"/>
    <w:rsid w:val="002A48C6"/>
    <w:rsid w:val="009E65F7"/>
    <w:rsid w:val="00A22161"/>
    <w:rsid w:val="00B03C5E"/>
    <w:rsid w:val="00BB6939"/>
    <w:rsid w:val="00C84995"/>
    <w:rsid w:val="00C86D8E"/>
    <w:rsid w:val="00D90162"/>
    <w:rsid w:val="00E642B3"/>
    <w:rsid w:val="00F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F759BD"/>
  <w14:defaultImageDpi w14:val="300"/>
  <w15:docId w15:val="{6C79F0E1-609B-42C6-ABAA-329C3F535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1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SimSun" w:hAnsi="Times New Roman" w:cs="Times New Roman"/>
      <w:szCs w:val="20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C86D8E"/>
    <w:pPr>
      <w:keepNext/>
      <w:keepLines/>
      <w:numPr>
        <w:numId w:val="2"/>
      </w:numPr>
      <w:spacing w:after="120"/>
      <w:ind w:left="548" w:hanging="274"/>
      <w:outlineLvl w:val="0"/>
    </w:pPr>
    <w:rPr>
      <w:rFonts w:eastAsiaTheme="majorEastAsia" w:cs="Arial"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B03C5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03C5E"/>
    <w:rPr>
      <w:rFonts w:ascii="Avenir Book" w:hAnsi="Avenir Book"/>
    </w:rPr>
  </w:style>
  <w:style w:type="paragraph" w:styleId="TOC1">
    <w:name w:val="toc 1"/>
    <w:basedOn w:val="Normal"/>
    <w:next w:val="Normal"/>
    <w:uiPriority w:val="39"/>
    <w:unhideWhenUsed/>
    <w:rsid w:val="00D90162"/>
    <w:pPr>
      <w:ind w:left="1440"/>
    </w:pPr>
    <w:rPr>
      <w:rFonts w:ascii="Arial Narrow" w:hAnsi="Arial Narrow"/>
      <w:sz w:val="22"/>
    </w:rPr>
  </w:style>
  <w:style w:type="paragraph" w:styleId="TOC3">
    <w:name w:val="toc 3"/>
    <w:basedOn w:val="Normal"/>
    <w:next w:val="Normal"/>
    <w:uiPriority w:val="39"/>
    <w:unhideWhenUsed/>
    <w:rsid w:val="00D90162"/>
    <w:pPr>
      <w:ind w:left="2880"/>
    </w:pPr>
    <w:rPr>
      <w:rFonts w:ascii="Arial Narrow" w:hAnsi="Arial Narrow"/>
      <w:sz w:val="20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D90162"/>
    <w:pPr>
      <w:tabs>
        <w:tab w:val="right" w:leader="dot" w:pos="9624"/>
      </w:tabs>
      <w:ind w:left="2160"/>
    </w:pPr>
    <w:rPr>
      <w:rFonts w:ascii="Arial Narrow" w:hAnsi="Arial Narrow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86D8E"/>
    <w:rPr>
      <w:rFonts w:ascii="Arial" w:eastAsiaTheme="majorEastAsia" w:hAnsi="Arial" w:cs="Arial"/>
      <w:bCs/>
      <w:szCs w:val="32"/>
    </w:rPr>
  </w:style>
  <w:style w:type="paragraph" w:styleId="Header">
    <w:name w:val="header"/>
    <w:basedOn w:val="Normal"/>
    <w:link w:val="HeaderChar"/>
    <w:uiPriority w:val="99"/>
    <w:unhideWhenUsed/>
    <w:rsid w:val="00C84995"/>
    <w:pPr>
      <w:tabs>
        <w:tab w:val="clear" w:pos="794"/>
        <w:tab w:val="clear" w:pos="1191"/>
        <w:tab w:val="clear" w:pos="1588"/>
        <w:tab w:val="clear" w:pos="1985"/>
        <w:tab w:val="center" w:pos="4320"/>
        <w:tab w:val="right" w:pos="864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C84995"/>
    <w:rPr>
      <w:rFonts w:ascii="Times New Roman" w:eastAsia="SimSun" w:hAnsi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84995"/>
    <w:pPr>
      <w:tabs>
        <w:tab w:val="clear" w:pos="794"/>
        <w:tab w:val="clear" w:pos="1191"/>
        <w:tab w:val="clear" w:pos="1588"/>
        <w:tab w:val="clear" w:pos="1985"/>
        <w:tab w:val="center" w:pos="4320"/>
        <w:tab w:val="right" w:pos="864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C84995"/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7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228</Words>
  <Characters>1300</Characters>
  <Application>Microsoft Office Word</Application>
  <DocSecurity>0</DocSecurity>
  <Lines>10</Lines>
  <Paragraphs>3</Paragraphs>
  <ScaleCrop>false</ScaleCrop>
  <Company>Glenbrook Partners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Coye Benson</dc:creator>
  <cp:keywords/>
  <dc:description/>
  <cp:lastModifiedBy>Meshkurti, Ana Maria</cp:lastModifiedBy>
  <cp:revision>4</cp:revision>
  <dcterms:created xsi:type="dcterms:W3CDTF">2016-03-24T19:55:00Z</dcterms:created>
  <dcterms:modified xsi:type="dcterms:W3CDTF">2016-04-25T22:09:00Z</dcterms:modified>
</cp:coreProperties>
</file>